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98F" w:rsidRDefault="00CE098F" w:rsidP="00F54A7C">
      <w:r>
        <w:t>Лекция 14.</w:t>
      </w:r>
    </w:p>
    <w:p w:rsidR="003A26CC" w:rsidRDefault="003A26CC" w:rsidP="00F54A7C">
      <w:r>
        <w:t>Жидкостные лазеры.</w:t>
      </w:r>
    </w:p>
    <w:p w:rsidR="00B71C35" w:rsidRDefault="00B71C35" w:rsidP="00F54A7C">
      <w:r>
        <w:t>Полупроводниковые инжекционные лазеры. Основные особенности. Лазеры на ДГС. Характеристики, применение.</w:t>
      </w:r>
    </w:p>
    <w:p w:rsidR="00B71C35" w:rsidRPr="00B71C35" w:rsidRDefault="00B71C35" w:rsidP="00F54A7C"/>
    <w:p w:rsidR="003A26CC" w:rsidRDefault="003A26CC" w:rsidP="00F54A7C">
      <w:r>
        <w:t>Жидкости, как и твердые вещества, используемые в лазерах, как уже указывалось ранее, являются диэлектриками в конденсированной фазе, т.е. по своим физико-химическим свойствам эти среды близки друг к другу, например, стекло по существу представляет собой переохла</w:t>
      </w:r>
      <w:r>
        <w:t>ж</w:t>
      </w:r>
      <w:r>
        <w:t>денную жидкость.</w:t>
      </w:r>
    </w:p>
    <w:p w:rsidR="003A26CC" w:rsidRDefault="003A26CC" w:rsidP="00F54A7C">
      <w:r>
        <w:t>в этом случае ре</w:t>
      </w:r>
      <w:r>
        <w:t>а</w:t>
      </w:r>
      <w:r>
        <w:t>лизуется целый ряд достоинств по сравнению с другими средами. К т</w:t>
      </w:r>
      <w:r>
        <w:t>а</w:t>
      </w:r>
      <w:r>
        <w:t>ким преимуществам можно отнести: легкость получения активной среды с требуемыми характеристиками, простота изменения ее состава, во</w:t>
      </w:r>
      <w:r>
        <w:t>з</w:t>
      </w:r>
      <w:r>
        <w:t>можность прокачки среды для поддержания ее в высокоэффективном состоянии, легкость охлаждения при большой мощности генератора, о</w:t>
      </w:r>
      <w:r>
        <w:t>п</w:t>
      </w:r>
      <w:r>
        <w:t>тическая однородность и т.д.</w:t>
      </w:r>
    </w:p>
    <w:p w:rsidR="003A26CC" w:rsidRPr="0067273B" w:rsidRDefault="003A26CC" w:rsidP="00F54A7C">
      <w:pPr>
        <w:rPr>
          <w:szCs w:val="28"/>
        </w:rPr>
      </w:pPr>
      <w:r>
        <w:t>Многочисленные исследования различных жидкостей позволили реализовать лазерную генерацию лишь в относ</w:t>
      </w:r>
      <w:r>
        <w:t>и</w:t>
      </w:r>
      <w:r>
        <w:t>тельно небольшом их количестве, при этом лазеры на этих средах, как правило, уступают твердотельным лазерам по своим рабочим характеристикам, за исключением жидкостных лазеров на органических крас</w:t>
      </w:r>
      <w:r>
        <w:t>и</w:t>
      </w:r>
      <w:r>
        <w:t>телях.</w:t>
      </w:r>
    </w:p>
    <w:p w:rsidR="003A26CC" w:rsidRPr="0067273B" w:rsidRDefault="003A26CC" w:rsidP="00F54A7C">
      <w:pPr>
        <w:rPr>
          <w:szCs w:val="28"/>
        </w:rPr>
      </w:pPr>
      <w:r w:rsidRPr="0067273B">
        <w:rPr>
          <w:szCs w:val="28"/>
        </w:rPr>
        <w:t>Эти лазеры не имеют аналогов с точки зрения возможности плавной пер</w:t>
      </w:r>
      <w:r w:rsidRPr="0067273B">
        <w:rPr>
          <w:szCs w:val="28"/>
        </w:rPr>
        <w:t>е</w:t>
      </w:r>
      <w:r w:rsidRPr="0067273B">
        <w:rPr>
          <w:szCs w:val="28"/>
        </w:rPr>
        <w:t>стройки длины волны генерации в очень широком диапазоне – во всей видимой о</w:t>
      </w:r>
      <w:r w:rsidRPr="0067273B">
        <w:rPr>
          <w:szCs w:val="28"/>
        </w:rPr>
        <w:t>б</w:t>
      </w:r>
      <w:r w:rsidRPr="0067273B">
        <w:rPr>
          <w:szCs w:val="28"/>
        </w:rPr>
        <w:t>ласти спектра, включая ближний ультрафиолетовый и инфракрасный диапазоны, при этом реализуется излучение с очень высокой монохроматичностью, достигающей 1…1,5 МГц. Лазеры на о</w:t>
      </w:r>
      <w:r w:rsidRPr="0067273B">
        <w:rPr>
          <w:szCs w:val="28"/>
        </w:rPr>
        <w:t>р</w:t>
      </w:r>
      <w:r w:rsidRPr="0067273B">
        <w:rPr>
          <w:szCs w:val="28"/>
        </w:rPr>
        <w:t>ганических красителях, работающие в непрерывном и импульсивном режимах, имеют энергию в импульсе до нескольких сотен джоулей и мощность в десятки ватт в непрерывном режиме. КПД лазеров на орг</w:t>
      </w:r>
      <w:r w:rsidRPr="0067273B">
        <w:rPr>
          <w:szCs w:val="28"/>
        </w:rPr>
        <w:t>а</w:t>
      </w:r>
      <w:r w:rsidRPr="0067273B">
        <w:rPr>
          <w:szCs w:val="28"/>
        </w:rPr>
        <w:t>нических красителях достигает десятков процентов при лазерной нака</w:t>
      </w:r>
      <w:r w:rsidRPr="0067273B">
        <w:rPr>
          <w:szCs w:val="28"/>
        </w:rPr>
        <w:t>ч</w:t>
      </w:r>
      <w:r w:rsidRPr="0067273B">
        <w:rPr>
          <w:szCs w:val="28"/>
        </w:rPr>
        <w:t>ке.</w:t>
      </w:r>
      <w:r>
        <w:rPr>
          <w:szCs w:val="28"/>
        </w:rPr>
        <w:t xml:space="preserve"> </w:t>
      </w:r>
      <w:r w:rsidRPr="0067273B">
        <w:rPr>
          <w:szCs w:val="28"/>
        </w:rPr>
        <w:t>В лазерах на красителях активное вещество создается на основе молекул органических красителей в орган</w:t>
      </w:r>
      <w:r w:rsidRPr="0067273B">
        <w:rPr>
          <w:szCs w:val="28"/>
        </w:rPr>
        <w:t>и</w:t>
      </w:r>
      <w:r w:rsidRPr="0067273B">
        <w:rPr>
          <w:szCs w:val="28"/>
        </w:rPr>
        <w:t>ческих растворителях или воде. Органические красители обладают интенсивные п</w:t>
      </w:r>
      <w:r w:rsidRPr="0067273B">
        <w:rPr>
          <w:szCs w:val="28"/>
        </w:rPr>
        <w:t>о</w:t>
      </w:r>
      <w:r w:rsidRPr="0067273B">
        <w:rPr>
          <w:szCs w:val="28"/>
        </w:rPr>
        <w:t>лосами поглощения в видимой области спектра, что и определяет их насыщенную окраску. Эти свойства краситель проявляет как в жидких, так и твердых раств</w:t>
      </w:r>
      <w:r w:rsidRPr="0067273B">
        <w:rPr>
          <w:szCs w:val="28"/>
        </w:rPr>
        <w:t>о</w:t>
      </w:r>
      <w:r w:rsidRPr="0067273B">
        <w:rPr>
          <w:szCs w:val="28"/>
        </w:rPr>
        <w:t>рах. В кристаллической фазе указанные свойства сильно ослабевают. Структура молекулы красителя содержит бензольные (С</w:t>
      </w:r>
      <w:r w:rsidRPr="0067273B">
        <w:rPr>
          <w:szCs w:val="28"/>
          <w:vertAlign w:val="subscript"/>
        </w:rPr>
        <w:t>6</w:t>
      </w:r>
      <w:r w:rsidRPr="0067273B">
        <w:rPr>
          <w:szCs w:val="28"/>
        </w:rPr>
        <w:t>Н</w:t>
      </w:r>
      <w:r w:rsidRPr="0067273B">
        <w:rPr>
          <w:szCs w:val="28"/>
          <w:vertAlign w:val="subscript"/>
        </w:rPr>
        <w:t>6</w:t>
      </w:r>
      <w:r w:rsidRPr="0067273B">
        <w:rPr>
          <w:szCs w:val="28"/>
        </w:rPr>
        <w:t>), пиридин</w:t>
      </w:r>
      <w:r w:rsidRPr="0067273B">
        <w:rPr>
          <w:szCs w:val="28"/>
        </w:rPr>
        <w:t>о</w:t>
      </w:r>
      <w:r w:rsidRPr="0067273B">
        <w:rPr>
          <w:szCs w:val="28"/>
        </w:rPr>
        <w:t>вые (С</w:t>
      </w:r>
      <w:r w:rsidRPr="0067273B">
        <w:rPr>
          <w:szCs w:val="28"/>
          <w:vertAlign w:val="subscript"/>
        </w:rPr>
        <w:t>6</w:t>
      </w:r>
      <w:r w:rsidRPr="0067273B">
        <w:rPr>
          <w:szCs w:val="28"/>
        </w:rPr>
        <w:t>Н</w:t>
      </w:r>
      <w:r w:rsidRPr="0067273B">
        <w:rPr>
          <w:szCs w:val="28"/>
          <w:vertAlign w:val="subscript"/>
        </w:rPr>
        <w:t>5</w:t>
      </w:r>
      <w:r w:rsidRPr="0067273B">
        <w:rPr>
          <w:szCs w:val="28"/>
          <w:lang w:val="en-US"/>
        </w:rPr>
        <w:t>N</w:t>
      </w:r>
      <w:r w:rsidRPr="0067273B">
        <w:rPr>
          <w:szCs w:val="28"/>
        </w:rPr>
        <w:t>), азотные (С</w:t>
      </w:r>
      <w:r w:rsidRPr="0067273B">
        <w:rPr>
          <w:szCs w:val="28"/>
          <w:vertAlign w:val="subscript"/>
        </w:rPr>
        <w:t>4</w:t>
      </w:r>
      <w:r w:rsidRPr="0067273B">
        <w:rPr>
          <w:szCs w:val="28"/>
        </w:rPr>
        <w:t>Н</w:t>
      </w:r>
      <w:r w:rsidRPr="0067273B">
        <w:rPr>
          <w:szCs w:val="28"/>
          <w:vertAlign w:val="subscript"/>
        </w:rPr>
        <w:t>4</w:t>
      </w:r>
      <w:r w:rsidRPr="0067273B">
        <w:rPr>
          <w:szCs w:val="28"/>
          <w:lang w:val="en-US"/>
        </w:rPr>
        <w:t>N</w:t>
      </w:r>
      <w:r w:rsidRPr="0067273B">
        <w:rPr>
          <w:szCs w:val="28"/>
          <w:vertAlign w:val="subscript"/>
        </w:rPr>
        <w:t>2</w:t>
      </w:r>
      <w:r w:rsidRPr="0067273B">
        <w:rPr>
          <w:szCs w:val="28"/>
        </w:rPr>
        <w:t>) и другие кольц</w:t>
      </w:r>
      <w:r w:rsidRPr="0067273B">
        <w:rPr>
          <w:szCs w:val="28"/>
        </w:rPr>
        <w:t>е</w:t>
      </w:r>
      <w:r w:rsidRPr="0067273B">
        <w:rPr>
          <w:szCs w:val="28"/>
        </w:rPr>
        <w:t>вые структуры.</w:t>
      </w:r>
    </w:p>
    <w:p w:rsidR="00F911DF" w:rsidRDefault="00EA0C8E" w:rsidP="00F54A7C">
      <w:r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972185</wp:posOffset>
            </wp:positionV>
            <wp:extent cx="3095625" cy="2114550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1DF">
        <w:t>Наибольшее распространение в лазерах на органических красителях получил краситель– родамин 6</w:t>
      </w:r>
      <w:r w:rsidR="00F911DF">
        <w:rPr>
          <w:lang w:val="en-US"/>
        </w:rPr>
        <w:t>G</w:t>
      </w:r>
      <w:r w:rsidR="00F911DF">
        <w:t>, структура которого представлена на рисунке 20.12. Структура энергетических уровней молекул органич</w:t>
      </w:r>
      <w:r w:rsidR="00F911DF">
        <w:t>е</w:t>
      </w:r>
      <w:r w:rsidR="00F911DF">
        <w:t>ских красителей включает разрешенные значения электронных, колеб</w:t>
      </w:r>
      <w:r w:rsidR="00F911DF">
        <w:t>а</w:t>
      </w:r>
      <w:r w:rsidR="00F911DF">
        <w:t>тельных и вращательных состояний. Каждому электронному состоянию соответствует набор колебательных уровней энергии, а каждому электронно-колебательному состоянию полоса вращательных уровней. По</w:t>
      </w:r>
      <w:r w:rsidR="00F911DF">
        <w:t>л</w:t>
      </w:r>
      <w:r w:rsidR="00F911DF">
        <w:t>ная энергия молекулы с достаточной степенью точности может быть о</w:t>
      </w:r>
      <w:r w:rsidR="00F911DF">
        <w:t>п</w:t>
      </w:r>
      <w:r w:rsidR="00F911DF">
        <w:t xml:space="preserve">ределена как </w:t>
      </w:r>
      <w:r w:rsidR="00F911DF">
        <w:rPr>
          <w:i/>
        </w:rPr>
        <w:t>Е = Е</w:t>
      </w:r>
      <w:r w:rsidR="00F911DF">
        <w:rPr>
          <w:i/>
          <w:vertAlign w:val="subscript"/>
        </w:rPr>
        <w:t>эл</w:t>
      </w:r>
      <w:r w:rsidR="00F911DF">
        <w:rPr>
          <w:i/>
        </w:rPr>
        <w:t xml:space="preserve"> + Е</w:t>
      </w:r>
      <w:r w:rsidR="00F911DF">
        <w:rPr>
          <w:i/>
          <w:vertAlign w:val="subscript"/>
        </w:rPr>
        <w:t>кол</w:t>
      </w:r>
      <w:r w:rsidR="00F911DF">
        <w:rPr>
          <w:i/>
        </w:rPr>
        <w:t xml:space="preserve"> + Е</w:t>
      </w:r>
      <w:r w:rsidR="00F911DF">
        <w:rPr>
          <w:i/>
          <w:vertAlign w:val="subscript"/>
        </w:rPr>
        <w:t>вр,</w:t>
      </w:r>
      <w:r w:rsidR="00F911DF">
        <w:t xml:space="preserve"> где </w:t>
      </w:r>
      <w:r w:rsidR="00F911DF">
        <w:rPr>
          <w:i/>
        </w:rPr>
        <w:t>Е</w:t>
      </w:r>
      <w:r w:rsidR="00F911DF">
        <w:rPr>
          <w:i/>
          <w:vertAlign w:val="subscript"/>
        </w:rPr>
        <w:t>эл</w:t>
      </w:r>
      <w:r w:rsidR="00F911DF">
        <w:t xml:space="preserve"> – энергия электронных состо</w:t>
      </w:r>
      <w:r w:rsidR="00F911DF">
        <w:t>я</w:t>
      </w:r>
      <w:r w:rsidR="00F911DF">
        <w:t xml:space="preserve">ний, </w:t>
      </w:r>
      <w:r w:rsidR="00F911DF">
        <w:rPr>
          <w:i/>
        </w:rPr>
        <w:t>Е</w:t>
      </w:r>
      <w:r w:rsidR="00F911DF">
        <w:rPr>
          <w:i/>
          <w:vertAlign w:val="subscript"/>
        </w:rPr>
        <w:t>кол</w:t>
      </w:r>
      <w:r w:rsidR="00F911DF">
        <w:t xml:space="preserve"> – энергия колебательных состояний, </w:t>
      </w:r>
      <w:r w:rsidR="00F911DF">
        <w:rPr>
          <w:i/>
        </w:rPr>
        <w:t>Е</w:t>
      </w:r>
      <w:r w:rsidR="00F911DF">
        <w:rPr>
          <w:i/>
          <w:vertAlign w:val="subscript"/>
        </w:rPr>
        <w:t>вр</w:t>
      </w:r>
      <w:r w:rsidR="00F911DF">
        <w:t xml:space="preserve"> – энергия вращател</w:t>
      </w:r>
      <w:r w:rsidR="00F911DF">
        <w:t>ь</w:t>
      </w:r>
      <w:r w:rsidR="00F911DF">
        <w:t>ных уровней.</w:t>
      </w:r>
    </w:p>
    <w:p w:rsidR="00F911DF" w:rsidRDefault="00F911DF" w:rsidP="00F54A7C">
      <w:r>
        <w:t>Эти энергетические состояния находятся в следующем соотнош</w:t>
      </w:r>
      <w:r>
        <w:t>е</w:t>
      </w:r>
      <w:r>
        <w:t>нии:</w:t>
      </w:r>
    </w:p>
    <w:p w:rsidR="00F911DF" w:rsidRDefault="00F911DF" w:rsidP="00F54A7C">
      <w:pPr>
        <w:rPr>
          <w:i/>
        </w:rPr>
      </w:pPr>
      <w:r>
        <w:rPr>
          <w:i/>
          <w:noProof/>
        </w:rPr>
        <w:pict>
          <v:polyline id="_x0000_s1026" style="position:absolute;left:0;text-align:left;z-index:251656192;mso-wrap-edited:f;mso-position-horizontal:absolute;mso-position-horizontal-relative:text;mso-position-vertical:absolute;mso-position-vertical-relative:text" points="131.3pt,4.15pt,162.5pt,4.15pt" coordsize="624,1" o:allowincell="f" filled="f">
            <v:path arrowok="t"/>
          </v:polyline>
        </w:pict>
      </w:r>
      <w:r>
        <w:rPr>
          <w:i/>
        </w:rPr>
        <w:t xml:space="preserve">Е </w:t>
      </w:r>
      <w:r>
        <w:rPr>
          <w:i/>
          <w:vertAlign w:val="subscript"/>
        </w:rPr>
        <w:t>эл</w:t>
      </w:r>
      <w:r>
        <w:rPr>
          <w:i/>
        </w:rPr>
        <w:t>: Е</w:t>
      </w:r>
      <w:r>
        <w:rPr>
          <w:i/>
          <w:vertAlign w:val="subscript"/>
        </w:rPr>
        <w:t>кол</w:t>
      </w:r>
      <w:r>
        <w:rPr>
          <w:i/>
        </w:rPr>
        <w:t>: Е</w:t>
      </w:r>
      <w:r>
        <w:rPr>
          <w:i/>
          <w:vertAlign w:val="subscript"/>
        </w:rPr>
        <w:t>вр</w:t>
      </w:r>
      <w:r>
        <w:rPr>
          <w:i/>
        </w:rPr>
        <w:t xml:space="preserve"> = 1: </w:t>
      </w:r>
      <w:r>
        <w:rPr>
          <w:rFonts w:ascii="Times New Roman CYR" w:hAnsi="Times New Roman CYR"/>
          <w:i/>
        </w:rPr>
        <w:t>√(</w:t>
      </w:r>
      <w:r>
        <w:rPr>
          <w:i/>
          <w:lang w:val="en-US"/>
        </w:rPr>
        <w:t>m</w:t>
      </w:r>
      <w:r>
        <w:rPr>
          <w:i/>
        </w:rPr>
        <w:t xml:space="preserve">/M) : (m/М), </w:t>
      </w:r>
    </w:p>
    <w:p w:rsidR="00F911DF" w:rsidRDefault="00F911DF" w:rsidP="00F54A7C">
      <w:r>
        <w:t xml:space="preserve">где </w:t>
      </w:r>
      <w:r>
        <w:rPr>
          <w:i/>
        </w:rPr>
        <w:t>m</w:t>
      </w:r>
      <w:r>
        <w:t xml:space="preserve"> – масса электрона, </w:t>
      </w:r>
      <w:r>
        <w:rPr>
          <w:i/>
        </w:rPr>
        <w:t>М</w:t>
      </w:r>
      <w:r>
        <w:t xml:space="preserve"> – порядка суммы массы ядер атомов, входящих в состав молекулы.</w:t>
      </w:r>
    </w:p>
    <w:p w:rsidR="00F911DF" w:rsidRDefault="00F911DF" w:rsidP="00F54A7C">
      <w:r>
        <w:t xml:space="preserve">Отношение </w:t>
      </w:r>
      <w:r>
        <w:rPr>
          <w:i/>
        </w:rPr>
        <w:t>m/М</w:t>
      </w:r>
      <w:r>
        <w:t xml:space="preserve"> лежит в пределах 10 </w:t>
      </w:r>
      <w:r>
        <w:rPr>
          <w:vertAlign w:val="superscript"/>
        </w:rPr>
        <w:t xml:space="preserve">–3 </w:t>
      </w:r>
      <w:r>
        <w:t xml:space="preserve">– 10 </w:t>
      </w:r>
      <w:r>
        <w:rPr>
          <w:vertAlign w:val="superscript"/>
        </w:rPr>
        <w:t xml:space="preserve">–5 </w:t>
      </w:r>
      <w:r>
        <w:t xml:space="preserve">. Энергетические уровни электронных состояний по порядку величины равны (1-3) эВ, колебательных – (10 </w:t>
      </w:r>
      <w:r>
        <w:rPr>
          <w:vertAlign w:val="superscript"/>
        </w:rPr>
        <w:t>-2</w:t>
      </w:r>
      <w:r>
        <w:t xml:space="preserve"> – 10 </w:t>
      </w:r>
      <w:r>
        <w:rPr>
          <w:vertAlign w:val="superscript"/>
        </w:rPr>
        <w:t>-1</w:t>
      </w:r>
      <w:r>
        <w:t>) эВ, а вращател</w:t>
      </w:r>
      <w:r>
        <w:t>ь</w:t>
      </w:r>
      <w:r>
        <w:t xml:space="preserve">ных – (10 </w:t>
      </w:r>
      <w:r>
        <w:rPr>
          <w:vertAlign w:val="superscript"/>
        </w:rPr>
        <w:t>- 4</w:t>
      </w:r>
      <w:r>
        <w:t xml:space="preserve"> – 10 </w:t>
      </w:r>
      <w:r>
        <w:rPr>
          <w:vertAlign w:val="superscript"/>
        </w:rPr>
        <w:t>- 3</w:t>
      </w:r>
      <w:r>
        <w:t>)эВ.</w:t>
      </w:r>
    </w:p>
    <w:p w:rsidR="00F911DF" w:rsidRDefault="00F911DF" w:rsidP="00F54A7C">
      <w:r>
        <w:t>Колебательные и вращательные состояния перекрываются друг с другом, образуя энергетические полосы для определенных электронных состояний, которые являются мультиплетными. Мультиплетность– это степень вырождения квантового состояния атома или молекулы, характеризуемого заданным значением полного спинового  момента. В лаз</w:t>
      </w:r>
      <w:r>
        <w:t>е</w:t>
      </w:r>
      <w:r>
        <w:t>рах на красителях используются две группы мультиплетных состояний: синглетные (</w:t>
      </w:r>
      <w:r>
        <w:rPr>
          <w:i/>
          <w:lang w:val="en-US"/>
        </w:rPr>
        <w:t>S</w:t>
      </w:r>
      <w:r>
        <w:t>) и триплетные (</w:t>
      </w:r>
      <w:r>
        <w:rPr>
          <w:i/>
        </w:rPr>
        <w:t>Т</w:t>
      </w:r>
      <w:r>
        <w:t>) состояния. Синглетные состояния им</w:t>
      </w:r>
      <w:r>
        <w:t>е</w:t>
      </w:r>
      <w:r>
        <w:t xml:space="preserve">ют антипараллельную ориентацию спинов с общим спином  </w:t>
      </w:r>
      <w:r>
        <w:rPr>
          <w:i/>
          <w:lang w:val="en-US"/>
        </w:rPr>
        <w:t>S</w:t>
      </w:r>
      <w:r>
        <w:t xml:space="preserve"> = 0, а тр</w:t>
      </w:r>
      <w:r>
        <w:t>и</w:t>
      </w:r>
      <w:r>
        <w:t xml:space="preserve">плетные параллельную ориентацию спинов, когда спин </w:t>
      </w:r>
      <w:r>
        <w:rPr>
          <w:i/>
          <w:lang w:val="en-US"/>
        </w:rPr>
        <w:t>S</w:t>
      </w:r>
      <w:r>
        <w:t xml:space="preserve"> = 1. Структура энергетических мультиплетных уровней органического красителя пре</w:t>
      </w:r>
      <w:r>
        <w:t>д</w:t>
      </w:r>
      <w:r>
        <w:t>ставлена на рисунке 20.13, где сплошными вертикальными линиями изображены излучательные, а волнистыми – безызлучательные перех</w:t>
      </w:r>
      <w:r>
        <w:t>о</w:t>
      </w:r>
      <w:r>
        <w:t xml:space="preserve">ды; колебательные уровни энергии в синглетных </w:t>
      </w:r>
      <w:r>
        <w:rPr>
          <w:i/>
          <w:lang w:val="en-US"/>
        </w:rPr>
        <w:t>S</w:t>
      </w:r>
      <w:r>
        <w:rPr>
          <w:i/>
          <w:vertAlign w:val="subscript"/>
        </w:rPr>
        <w:t xml:space="preserve">0, </w:t>
      </w:r>
      <w:r>
        <w:rPr>
          <w:i/>
        </w:rPr>
        <w:t xml:space="preserve"> </w:t>
      </w:r>
      <w:r>
        <w:rPr>
          <w:i/>
          <w:lang w:val="en-US"/>
        </w:rPr>
        <w:t>S</w:t>
      </w:r>
      <w:r>
        <w:rPr>
          <w:i/>
          <w:vertAlign w:val="subscript"/>
        </w:rPr>
        <w:t>1</w:t>
      </w:r>
      <w:r>
        <w:rPr>
          <w:i/>
        </w:rPr>
        <w:t xml:space="preserve">, </w:t>
      </w:r>
      <w:r>
        <w:rPr>
          <w:i/>
          <w:lang w:val="en-US"/>
        </w:rPr>
        <w:t>S</w:t>
      </w:r>
      <w:r>
        <w:rPr>
          <w:i/>
          <w:vertAlign w:val="subscript"/>
        </w:rPr>
        <w:t>2</w:t>
      </w:r>
      <w:r>
        <w:t xml:space="preserve"> и триплетных </w:t>
      </w:r>
      <w:r>
        <w:rPr>
          <w:i/>
        </w:rPr>
        <w:t>Т</w:t>
      </w:r>
      <w:r>
        <w:rPr>
          <w:i/>
          <w:vertAlign w:val="subscript"/>
        </w:rPr>
        <w:t>1</w:t>
      </w:r>
      <w:r>
        <w:t xml:space="preserve"> и </w:t>
      </w:r>
      <w:r>
        <w:rPr>
          <w:i/>
        </w:rPr>
        <w:t>Т</w:t>
      </w:r>
      <w:r>
        <w:rPr>
          <w:i/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 - электронных состояниях выделены жирными л</w:t>
      </w:r>
      <w:r>
        <w:t>и</w:t>
      </w:r>
      <w:r>
        <w:t>ниями.</w:t>
      </w:r>
    </w:p>
    <w:p w:rsidR="00F911DF" w:rsidRDefault="00F911DF" w:rsidP="00F54A7C">
      <w:r>
        <w:t xml:space="preserve">Каждое электронное состояние </w:t>
      </w:r>
      <w:r>
        <w:rPr>
          <w:i/>
          <w:lang w:val="en-US"/>
        </w:rPr>
        <w:t>S</w:t>
      </w:r>
      <w:r>
        <w:rPr>
          <w:i/>
          <w:vertAlign w:val="subscript"/>
        </w:rPr>
        <w:t xml:space="preserve">1, </w:t>
      </w:r>
      <w:r>
        <w:rPr>
          <w:i/>
        </w:rPr>
        <w:t xml:space="preserve"> </w:t>
      </w:r>
      <w:r>
        <w:rPr>
          <w:i/>
          <w:lang w:val="en-US"/>
        </w:rPr>
        <w:t>S</w:t>
      </w:r>
      <w:r>
        <w:rPr>
          <w:i/>
          <w:vertAlign w:val="subscript"/>
        </w:rPr>
        <w:t>2</w:t>
      </w:r>
      <w:r>
        <w:rPr>
          <w:i/>
        </w:rPr>
        <w:t>, Т</w:t>
      </w:r>
      <w:r>
        <w:rPr>
          <w:i/>
          <w:vertAlign w:val="subscript"/>
        </w:rPr>
        <w:t>1</w:t>
      </w:r>
      <w:r>
        <w:t xml:space="preserve"> и </w:t>
      </w:r>
      <w:r>
        <w:rPr>
          <w:i/>
        </w:rPr>
        <w:t>Т</w:t>
      </w:r>
      <w:r>
        <w:rPr>
          <w:i/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 расщепляемо на серию колебательных подуровней, рядом с которыми располагаются уровни вращательных </w:t>
      </w:r>
      <w:r>
        <w:lastRenderedPageBreak/>
        <w:t>энергетических состояний. В соответствии с квантово-механическими правилами отбора по спину оптические переходы ра</w:t>
      </w:r>
      <w:r>
        <w:t>з</w:t>
      </w:r>
      <w:r>
        <w:t>решены между энергетическими состояниями с одинаковой мульт</w:t>
      </w:r>
      <w:r>
        <w:t>и</w:t>
      </w:r>
      <w:r>
        <w:t>плетностью, т.е. в рассматриваемом случае синглет - синглетные (</w:t>
      </w:r>
      <w:r>
        <w:rPr>
          <w:lang w:val="en-US"/>
        </w:rPr>
        <w:t>S</w:t>
      </w:r>
      <w:r>
        <w:t>-</w:t>
      </w:r>
      <w:r>
        <w:rPr>
          <w:lang w:val="en-US"/>
        </w:rPr>
        <w:t>S</w:t>
      </w:r>
      <w:r>
        <w:t>) и триплет-триплетные (</w:t>
      </w:r>
      <w:r>
        <w:rPr>
          <w:i/>
        </w:rPr>
        <w:t>Т-Т</w:t>
      </w:r>
      <w:r>
        <w:t>). Синглет-триплетные и триплет=синглетные переходы запрещены и их вероятность на три порядка меньше, чем ра</w:t>
      </w:r>
      <w:r>
        <w:t>з</w:t>
      </w:r>
      <w:r>
        <w:t xml:space="preserve">решенные </w:t>
      </w:r>
      <w:r>
        <w:rPr>
          <w:i/>
          <w:lang w:val="en-US"/>
        </w:rPr>
        <w:t>S</w:t>
      </w:r>
      <w:r>
        <w:rPr>
          <w:i/>
        </w:rPr>
        <w:t>-</w:t>
      </w:r>
      <w:r>
        <w:rPr>
          <w:i/>
          <w:lang w:val="en-US"/>
        </w:rPr>
        <w:t>S</w:t>
      </w:r>
      <w:r>
        <w:t xml:space="preserve"> и </w:t>
      </w:r>
      <w:r>
        <w:rPr>
          <w:i/>
          <w:lang w:val="en-US"/>
        </w:rPr>
        <w:t>T</w:t>
      </w:r>
      <w:r>
        <w:rPr>
          <w:i/>
        </w:rPr>
        <w:t>-</w:t>
      </w:r>
      <w:r>
        <w:rPr>
          <w:i/>
          <w:lang w:val="en-US"/>
        </w:rPr>
        <w:t>T</w:t>
      </w:r>
      <w:r>
        <w:t xml:space="preserve"> переходы.</w:t>
      </w:r>
    </w:p>
    <w:p w:rsidR="00F911DF" w:rsidRDefault="00EA0C8E" w:rsidP="00F54A7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-10795</wp:posOffset>
            </wp:positionV>
            <wp:extent cx="2533650" cy="3771900"/>
            <wp:effectExtent l="19050" t="0" r="0" b="0"/>
            <wp:wrapSquare wrapText="bothSides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1DF">
        <w:t xml:space="preserve">В равновесных условиях молекулы красителя находятся в основном состоянии </w:t>
      </w:r>
      <w:r w:rsidR="00F911DF">
        <w:rPr>
          <w:i/>
          <w:lang w:val="en-US"/>
        </w:rPr>
        <w:t>S</w:t>
      </w:r>
      <w:r w:rsidR="00F911DF">
        <w:rPr>
          <w:i/>
        </w:rPr>
        <w:t>о</w:t>
      </w:r>
      <w:r w:rsidR="00F911DF">
        <w:t xml:space="preserve"> и распределены по колебательно-вращательным подуро</w:t>
      </w:r>
      <w:r w:rsidR="00F911DF">
        <w:t>в</w:t>
      </w:r>
      <w:r w:rsidR="00F911DF">
        <w:t xml:space="preserve">ням в пределах энергий ~ </w:t>
      </w:r>
      <w:r w:rsidR="00F911DF">
        <w:rPr>
          <w:i/>
        </w:rPr>
        <w:t>кТ</w:t>
      </w:r>
      <w:r w:rsidR="00F911DF">
        <w:t>. При облучении красителя источником н</w:t>
      </w:r>
      <w:r w:rsidR="00F911DF">
        <w:t>а</w:t>
      </w:r>
      <w:r w:rsidR="00F911DF">
        <w:t>качки происходит поглощение оптического излучения, и молекулы п</w:t>
      </w:r>
      <w:r w:rsidR="00F911DF">
        <w:t>е</w:t>
      </w:r>
      <w:r w:rsidR="00F911DF">
        <w:t xml:space="preserve">реходят с уровней основного состояния на колебательно-вращательные уровни возбужденного состояния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1</w:t>
      </w:r>
      <w:r w:rsidR="00F911DF">
        <w:t xml:space="preserve">. Поскольку ширина энергетических полос около состояния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0</w:t>
      </w:r>
      <w:r w:rsidR="00F911DF">
        <w:t xml:space="preserve"> и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1</w:t>
      </w:r>
      <w:r w:rsidR="00F911DF">
        <w:t xml:space="preserve"> велика, то спектр поглощения на этих уровнях будет представлять достаточно широкую полосу. Для красителя родамин – </w:t>
      </w:r>
      <w:r w:rsidR="00F911DF">
        <w:rPr>
          <w:i/>
        </w:rPr>
        <w:t>6</w:t>
      </w:r>
      <w:r w:rsidR="00F911DF">
        <w:rPr>
          <w:i/>
          <w:lang w:val="en-US"/>
        </w:rPr>
        <w:t>G</w:t>
      </w:r>
      <w:r w:rsidR="00F911DF">
        <w:t xml:space="preserve"> этот спектр соответствует кривой 1 на рисунке 20.14, где интенсивность поглощения характеризуется сечением поглощения ф</w:t>
      </w:r>
      <w:r w:rsidR="00F911DF">
        <w:t>о</w:t>
      </w:r>
      <w:r w:rsidR="00F911DF">
        <w:t>тона -</w:t>
      </w:r>
      <w:r w:rsidR="00F911DF">
        <w:rPr>
          <w:position w:val="-6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o:ole="" fillcolor="window">
            <v:imagedata r:id="rId8" o:title=""/>
          </v:shape>
          <o:OLEObject Type="Embed" ProgID="Equation.3" ShapeID="_x0000_i1025" DrawAspect="Content" ObjectID="_1322247613" r:id="rId9"/>
        </w:object>
      </w:r>
      <w:r w:rsidR="00F911DF">
        <w:t xml:space="preserve">. С верхних энергетических подуровней состояния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1</w:t>
      </w:r>
      <w:r w:rsidR="00F911DF">
        <w:rPr>
          <w:vertAlign w:val="subscript"/>
        </w:rPr>
        <w:t xml:space="preserve"> </w:t>
      </w:r>
      <w:r w:rsidR="00F911DF">
        <w:t>молекула очень быстро за время ~ 10</w:t>
      </w:r>
      <w:r w:rsidR="00F911DF">
        <w:rPr>
          <w:vertAlign w:val="superscript"/>
        </w:rPr>
        <w:t xml:space="preserve">-12 </w:t>
      </w:r>
      <w:r w:rsidR="00F911DF">
        <w:t>с в результате релаксационных безызлучател</w:t>
      </w:r>
      <w:r w:rsidR="00F911DF">
        <w:t>ь</w:t>
      </w:r>
      <w:r w:rsidR="00F911DF">
        <w:t xml:space="preserve">ных процессов переходит на нижние подуровни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1</w:t>
      </w:r>
      <w:r w:rsidR="00F911DF">
        <w:rPr>
          <w:vertAlign w:val="subscript"/>
        </w:rPr>
        <w:t xml:space="preserve"> </w:t>
      </w:r>
      <w:r w:rsidR="00F911DF">
        <w:t xml:space="preserve">и затем из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 xml:space="preserve">1 </w:t>
      </w:r>
      <w:r w:rsidR="00F911DF">
        <w:t xml:space="preserve">в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0</w:t>
      </w:r>
      <w:r w:rsidR="00F911DF">
        <w:rPr>
          <w:vertAlign w:val="subscript"/>
        </w:rPr>
        <w:t xml:space="preserve"> </w:t>
      </w:r>
      <w:r w:rsidR="00F911DF">
        <w:t>как излучательно, так и безызлучательно. Спектр спонтанной люминесце</w:t>
      </w:r>
      <w:r w:rsidR="00F911DF">
        <w:t>н</w:t>
      </w:r>
      <w:r w:rsidR="00F911DF">
        <w:t xml:space="preserve">ции (флуоресценции) красителя изображен кривой 2 на рисунке 20.14, где </w:t>
      </w:r>
      <w:r w:rsidR="00F911DF">
        <w:rPr>
          <w:position w:val="-4"/>
        </w:rPr>
        <w:object w:dxaOrig="260" w:dyaOrig="240">
          <v:shape id="_x0000_i1026" type="#_x0000_t75" style="width:12.75pt;height:12pt" o:ole="" fillcolor="window">
            <v:imagedata r:id="rId10" o:title=""/>
          </v:shape>
          <o:OLEObject Type="Embed" ProgID="Equation.3" ShapeID="_x0000_i1026" DrawAspect="Content" ObjectID="_1322247614" r:id="rId11"/>
        </w:object>
      </w:r>
      <w:r w:rsidR="00F911DF">
        <w:rPr>
          <w:position w:val="-12"/>
        </w:rPr>
        <w:object w:dxaOrig="180" w:dyaOrig="360">
          <v:shape id="_x0000_i1027" type="#_x0000_t75" style="width:9pt;height:18pt" o:ole="" fillcolor="window">
            <v:imagedata r:id="rId12" o:title=""/>
          </v:shape>
          <o:OLEObject Type="Embed" ProgID="Equation.3" ShapeID="_x0000_i1027" DrawAspect="Content" ObjectID="_1322247615" r:id="rId13"/>
        </w:object>
      </w:r>
      <w:r w:rsidR="00F911DF">
        <w:t xml:space="preserve">-спектральная плотность светового потока, вызванного флуоресценцией. Время жизни при излучательных переходах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1</w:t>
      </w:r>
      <w:r w:rsidR="00F911DF">
        <w:rPr>
          <w:vertAlign w:val="subscript"/>
        </w:rPr>
        <w:t xml:space="preserve"> </w:t>
      </w:r>
      <w:r w:rsidR="00F911DF">
        <w:t xml:space="preserve">- </w:t>
      </w:r>
      <w:r w:rsidR="00F911DF">
        <w:rPr>
          <w:i/>
          <w:lang w:val="en-US"/>
        </w:rPr>
        <w:t>S</w:t>
      </w:r>
      <w:r w:rsidR="00F911DF">
        <w:rPr>
          <w:i/>
          <w:vertAlign w:val="subscript"/>
        </w:rPr>
        <w:t>0</w:t>
      </w:r>
      <w:r w:rsidR="00F911DF">
        <w:rPr>
          <w:vertAlign w:val="subscript"/>
        </w:rPr>
        <w:t xml:space="preserve"> </w:t>
      </w:r>
      <w:r w:rsidR="00F911DF">
        <w:t>п</w:t>
      </w:r>
      <w:r w:rsidR="00F911DF">
        <w:t>о</w:t>
      </w:r>
      <w:r w:rsidR="00F911DF">
        <w:t>рядка 10</w:t>
      </w:r>
      <w:r w:rsidR="00F911DF">
        <w:rPr>
          <w:vertAlign w:val="superscript"/>
        </w:rPr>
        <w:t xml:space="preserve">–9 </w:t>
      </w:r>
      <w:r w:rsidR="00F911DF">
        <w:t>с. Спектр люминесценции представляет широкую полосу, смещенную в длинноволновую область относительно спектра поглощ</w:t>
      </w:r>
      <w:r w:rsidR="00F911DF">
        <w:t>е</w:t>
      </w:r>
      <w:r w:rsidR="00F911DF">
        <w:t>ния.</w:t>
      </w:r>
    </w:p>
    <w:p w:rsidR="00F911DF" w:rsidRDefault="00F911DF" w:rsidP="00F54A7C">
      <w:r>
        <w:t>Для получения инверсной населенности в лазерах на красителях используют оптическую накачку либо с помощью импульсных  газора</w:t>
      </w:r>
      <w:r>
        <w:t>з</w:t>
      </w:r>
      <w:r>
        <w:t>рядных ламп, либо с помощью лазеров. Так как основным достоинством рассматриваемого типа лазеров является перестройка частоты в шир</w:t>
      </w:r>
      <w:r>
        <w:t>о</w:t>
      </w:r>
      <w:r>
        <w:t xml:space="preserve">ком диапазоне, то наиболее часто в лазерах на красителях </w:t>
      </w:r>
      <w:r>
        <w:lastRenderedPageBreak/>
        <w:t xml:space="preserve">применяют лазерную накачку от различного типа газовых лазеров, излучение </w:t>
      </w:r>
      <w:r w:rsidR="00EA0C8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525780</wp:posOffset>
            </wp:positionV>
            <wp:extent cx="3835400" cy="3302000"/>
            <wp:effectExtent l="19050" t="0" r="0" b="0"/>
            <wp:wrapSquare wrapText="bothSides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33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н</w:t>
      </w:r>
      <w:r>
        <w:t>е</w:t>
      </w:r>
      <w:r>
        <w:t>одимового лазера на вторыех гармониках, импульсные газоразрядные лампы и т.д.</w:t>
      </w:r>
    </w:p>
    <w:p w:rsidR="00F911DF" w:rsidRDefault="00F911DF" w:rsidP="00F54A7C">
      <w:r>
        <w:t xml:space="preserve">Генерация в лазерах на органических красителях осуществляется по 4-х уровневой схеме между уровнями </w:t>
      </w:r>
      <w:r>
        <w:rPr>
          <w:i/>
        </w:rPr>
        <w:t>S</w:t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 xml:space="preserve">и </w:t>
      </w:r>
      <w:r>
        <w:rPr>
          <w:i/>
        </w:rPr>
        <w:t>S</w:t>
      </w:r>
      <w:r>
        <w:rPr>
          <w:i/>
          <w:vertAlign w:val="subscript"/>
        </w:rPr>
        <w:t>0</w:t>
      </w:r>
      <w:r>
        <w:t xml:space="preserve"> . Под воздействием инте</w:t>
      </w:r>
      <w:r>
        <w:t>н</w:t>
      </w:r>
      <w:r>
        <w:t xml:space="preserve">сивной накачки достигается инверсия населенности между нижними уровнями полосы </w:t>
      </w:r>
      <w:r>
        <w:rPr>
          <w:i/>
          <w:lang w:val="en-US"/>
        </w:rPr>
        <w:t>S</w:t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 xml:space="preserve">и верхними </w:t>
      </w:r>
      <w:r>
        <w:rPr>
          <w:i/>
          <w:lang w:val="en-US"/>
        </w:rPr>
        <w:t>S</w:t>
      </w:r>
      <w:r>
        <w:rPr>
          <w:i/>
          <w:vertAlign w:val="subscript"/>
        </w:rPr>
        <w:t>0</w:t>
      </w:r>
      <w:r>
        <w:rPr>
          <w:vertAlign w:val="subscript"/>
        </w:rPr>
        <w:t xml:space="preserve"> </w:t>
      </w:r>
      <w:r>
        <w:t xml:space="preserve">. Высокорасположенные подуровни </w:t>
      </w:r>
      <w:r>
        <w:rPr>
          <w:i/>
        </w:rPr>
        <w:t>S</w:t>
      </w:r>
      <w:r>
        <w:rPr>
          <w:i/>
          <w:vertAlign w:val="subscript"/>
        </w:rPr>
        <w:t>0</w:t>
      </w:r>
      <w:r>
        <w:rPr>
          <w:vertAlign w:val="subscript"/>
        </w:rPr>
        <w:t xml:space="preserve"> </w:t>
      </w:r>
      <w:r>
        <w:t xml:space="preserve">не заселены за тепловой релаксации и их опустошение осуществляется весьма эффективно. Триплетные состояния </w:t>
      </w:r>
      <w:r>
        <w:rPr>
          <w:i/>
        </w:rPr>
        <w:t>Т</w:t>
      </w:r>
      <w:r>
        <w:rPr>
          <w:i/>
          <w:vertAlign w:val="subscript"/>
        </w:rPr>
        <w:t xml:space="preserve">1 </w:t>
      </w:r>
      <w:r>
        <w:t xml:space="preserve">и </w:t>
      </w:r>
      <w:r>
        <w:rPr>
          <w:i/>
        </w:rPr>
        <w:t>Т</w:t>
      </w:r>
      <w:r>
        <w:rPr>
          <w:i/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 играют негативную роль в получении инверсии и, соответственно лазерной генерации. С верхнего состояния </w:t>
      </w:r>
      <w:r>
        <w:rPr>
          <w:i/>
        </w:rPr>
        <w:t>S</w:t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>молекулы красителя могут безызлучательно п</w:t>
      </w:r>
      <w:r>
        <w:t>е</w:t>
      </w:r>
      <w:r>
        <w:t xml:space="preserve">рейти в </w:t>
      </w:r>
      <w:r>
        <w:rPr>
          <w:i/>
        </w:rPr>
        <w:t>Т</w:t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>и не участвовать в индуцированном излучении, хотя вероя</w:t>
      </w:r>
      <w:r>
        <w:t>т</w:t>
      </w:r>
      <w:r>
        <w:t xml:space="preserve">ность этого перехода меньше вероятности лазерного. Состояние </w:t>
      </w:r>
      <w:r>
        <w:rPr>
          <w:i/>
        </w:rPr>
        <w:t>Т</w:t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 xml:space="preserve"> я</w:t>
      </w:r>
      <w:r>
        <w:t>в</w:t>
      </w:r>
      <w:r>
        <w:t xml:space="preserve">ляется метастабильным, т.е. переход </w:t>
      </w:r>
      <w:r>
        <w:rPr>
          <w:i/>
        </w:rPr>
        <w:t>Т</w:t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 xml:space="preserve"> - </w:t>
      </w:r>
      <w:r>
        <w:rPr>
          <w:i/>
        </w:rPr>
        <w:t>S</w:t>
      </w:r>
      <w:r>
        <w:rPr>
          <w:i/>
          <w:vertAlign w:val="subscript"/>
        </w:rPr>
        <w:t>0</w:t>
      </w:r>
      <w:r>
        <w:t xml:space="preserve">  запрещен и поэтому молекулы накапливаются в этом состоянии. В большинстве  красителей разрешенные переходы </w:t>
      </w:r>
      <w:r>
        <w:rPr>
          <w:i/>
        </w:rPr>
        <w:t>Т</w:t>
      </w:r>
      <w:r>
        <w:rPr>
          <w:i/>
          <w:vertAlign w:val="subscript"/>
        </w:rPr>
        <w:t xml:space="preserve">1 </w:t>
      </w:r>
      <w:r>
        <w:rPr>
          <w:i/>
        </w:rPr>
        <w:t xml:space="preserve"> - Т</w:t>
      </w:r>
      <w:r>
        <w:rPr>
          <w:i/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 и </w:t>
      </w:r>
      <w:r>
        <w:rPr>
          <w:i/>
        </w:rPr>
        <w:t>S</w:t>
      </w:r>
      <w:r>
        <w:rPr>
          <w:i/>
          <w:vertAlign w:val="subscript"/>
        </w:rPr>
        <w:t>1</w:t>
      </w:r>
      <w:r>
        <w:rPr>
          <w:i/>
        </w:rPr>
        <w:t xml:space="preserve"> - S</w:t>
      </w:r>
      <w:r>
        <w:rPr>
          <w:i/>
          <w:vertAlign w:val="subscript"/>
        </w:rPr>
        <w:t>0</w:t>
      </w:r>
      <w:r>
        <w:t xml:space="preserve"> близки по энергии, поэтому молек</w:t>
      </w:r>
      <w:r>
        <w:t>у</w:t>
      </w:r>
      <w:r>
        <w:t xml:space="preserve">лы из состояния </w:t>
      </w:r>
      <w:r>
        <w:rPr>
          <w:i/>
        </w:rPr>
        <w:t>Т</w:t>
      </w:r>
      <w:r>
        <w:rPr>
          <w:i/>
          <w:vertAlign w:val="subscript"/>
        </w:rPr>
        <w:t>1</w:t>
      </w:r>
      <w:r>
        <w:rPr>
          <w:vertAlign w:val="subscript"/>
        </w:rPr>
        <w:t xml:space="preserve"> </w:t>
      </w:r>
      <w:r>
        <w:t xml:space="preserve"> легко переходят в </w:t>
      </w:r>
      <w:r>
        <w:rPr>
          <w:i/>
        </w:rPr>
        <w:t>Т</w:t>
      </w:r>
      <w:r>
        <w:rPr>
          <w:i/>
          <w:vertAlign w:val="subscript"/>
        </w:rPr>
        <w:t>2</w:t>
      </w:r>
      <w:r>
        <w:t>, поглощая энергию излучения лазерного перехода. Это паразитное поглощение может приводить к срыву генер</w:t>
      </w:r>
      <w:r>
        <w:t>а</w:t>
      </w:r>
      <w:r>
        <w:t>ции .</w:t>
      </w:r>
    </w:p>
    <w:p w:rsidR="00F911DF" w:rsidRDefault="00F911DF" w:rsidP="00F54A7C">
      <w:r>
        <w:t>Спектр излучения лазера определяется не только молекулами кр</w:t>
      </w:r>
      <w:r>
        <w:t>а</w:t>
      </w:r>
      <w:r>
        <w:t>сителя, но и характеристиками резонатора. Для осуществления пер</w:t>
      </w:r>
      <w:r>
        <w:t>е</w:t>
      </w:r>
      <w:r>
        <w:t>стройки частоты лазера в широком диапазоне внутрь резонаторов вводят частотно-селективные элементы..</w:t>
      </w:r>
    </w:p>
    <w:p w:rsidR="00F911DF" w:rsidRDefault="00F911DF" w:rsidP="00F54A7C">
      <w:r>
        <w:t xml:space="preserve">Вероятность оптических переходов </w:t>
      </w:r>
      <w:r>
        <w:rPr>
          <w:i/>
        </w:rPr>
        <w:t>S</w:t>
      </w:r>
      <w:r>
        <w:rPr>
          <w:i/>
          <w:vertAlign w:val="subscript"/>
        </w:rPr>
        <w:t>1</w:t>
      </w:r>
      <w:r>
        <w:rPr>
          <w:i/>
        </w:rPr>
        <w:t xml:space="preserve"> </w:t>
      </w:r>
      <w:r>
        <w:t>-</w:t>
      </w:r>
      <w:r>
        <w:rPr>
          <w:i/>
        </w:rPr>
        <w:t xml:space="preserve"> S</w:t>
      </w:r>
      <w:r>
        <w:rPr>
          <w:i/>
          <w:vertAlign w:val="subscript"/>
        </w:rPr>
        <w:t>0</w:t>
      </w:r>
      <w:r>
        <w:t xml:space="preserve"> велика, поэтому усиление для лазеров на красителях весьма значительны, примерно на два порядка выше, чем в твердотельных неодимовых и рубиновых лазерах, т.е. объем активной среды в жидкостных лазерах на красителях значительно мен</w:t>
      </w:r>
      <w:r>
        <w:t>ь</w:t>
      </w:r>
      <w:r>
        <w:t>ше, чем в твердотельных.</w:t>
      </w:r>
    </w:p>
    <w:p w:rsidR="00F911DF" w:rsidRDefault="00F911DF" w:rsidP="00F54A7C">
      <w:r>
        <w:t>Из-за интенсивной накачки и большой плотности лазерного излуч</w:t>
      </w:r>
      <w:r>
        <w:t>е</w:t>
      </w:r>
      <w:r>
        <w:t xml:space="preserve">ния происходит быстрое разложение красителя. Чтобы избежать этого, необходимо осуществлять </w:t>
      </w:r>
      <w:r>
        <w:lastRenderedPageBreak/>
        <w:t>быструю прокачку активной жидкости, ре</w:t>
      </w:r>
      <w:r>
        <w:t>а</w:t>
      </w:r>
      <w:r>
        <w:t>лизуя ее полную смену в активной области за время в несколько микр</w:t>
      </w:r>
      <w:r>
        <w:t>о</w:t>
      </w:r>
      <w:r>
        <w:t>секунд.</w:t>
      </w:r>
    </w:p>
    <w:p w:rsidR="00F911DF" w:rsidRDefault="00F911DF" w:rsidP="00F54A7C">
      <w:r>
        <w:t>Перестройку частоты излучения можно осуществлять за счет вв</w:t>
      </w:r>
      <w:r>
        <w:t>е</w:t>
      </w:r>
      <w:r>
        <w:t>дения внутрь резонатора призм, дифракционных решеток, фильтров и других, специальных частотно-селективных элементов. В качестве и</w:t>
      </w:r>
      <w:r>
        <w:t>л</w:t>
      </w:r>
      <w:r>
        <w:t>люстрации на рисунке 20.15. приведена схема лазера на красителе с л</w:t>
      </w:r>
      <w:r>
        <w:t>а</w:t>
      </w:r>
      <w:r>
        <w:t>минарным потоком. В этом лазере резонатор образован отражателем 3 с высоким коэффициентом отражения (~ 98 %) и плоским выходным зе</w:t>
      </w:r>
      <w:r>
        <w:t>р</w:t>
      </w:r>
      <w:r>
        <w:t>калом –7 с коэффициентом отражения порядка 95%. Вспомогательное зеркало 5 с коэффициентом отражения 100 % служит для изменения г</w:t>
      </w:r>
      <w:r>
        <w:t>а</w:t>
      </w:r>
      <w:r>
        <w:t>баритов лазера и обеспечивает сильную направленность выходного и</w:t>
      </w:r>
      <w:r>
        <w:t>з</w:t>
      </w:r>
      <w:r>
        <w:t>лучения 8. Излучение накачки 1 направляется на активную среду пов</w:t>
      </w:r>
      <w:r>
        <w:t>о</w:t>
      </w:r>
      <w:r>
        <w:t>ротным зеркалом 2. Поток красителя 4 направлен перпендикулярно к плоскости рисунка и для уменьшения потерь на отражение расположен под углом Брюстера к направлению излучения накачки. Селективный элемент -6 осуществляет перестройку дл</w:t>
      </w:r>
      <w:r>
        <w:t>и</w:t>
      </w:r>
      <w:r>
        <w:t xml:space="preserve">ны волны лазера.  </w:t>
      </w:r>
    </w:p>
    <w:p w:rsidR="00F911DF" w:rsidRDefault="00F911DF" w:rsidP="00F54A7C">
      <w:r>
        <w:t>КПД лазеров на органических красителях при накачке лазерным и</w:t>
      </w:r>
      <w:r>
        <w:t>з</w:t>
      </w:r>
      <w:r>
        <w:t>лучением достигает 25 – 30% и 1% при использовании в качестве нака</w:t>
      </w:r>
      <w:r>
        <w:t>ч</w:t>
      </w:r>
      <w:r>
        <w:t>ки импульсных ламп. Мощность излучения в непрерывном режиме п</w:t>
      </w:r>
      <w:r>
        <w:t>о</w:t>
      </w:r>
      <w:r>
        <w:t>рядка нескольких Вт, а в импульсном – несколько МВт при длительн</w:t>
      </w:r>
      <w:r>
        <w:t>о</w:t>
      </w:r>
      <w:r>
        <w:t>сти импульса порядка 20 нс и частоте повторения до 200 Гц, перекрытие диапазона длин волн от 0,34 до 1,17 мкм при подборе различных крас</w:t>
      </w:r>
      <w:r>
        <w:t>и</w:t>
      </w:r>
      <w:r>
        <w:t>телей. Расходимость выходного лазерного излучения составляет 2…5 мрад. Диапазон перестройки для каждого из красителей равен 40…80 нм. Ширина спектра лазерного излучения ~ 10 нм при отсутствии ди</w:t>
      </w:r>
      <w:r>
        <w:t>с</w:t>
      </w:r>
      <w:r>
        <w:t>пергирующих элементов внутри резонатора.</w:t>
      </w:r>
    </w:p>
    <w:p w:rsidR="002F15CC" w:rsidRDefault="00EA0C8E" w:rsidP="00F54A7C">
      <w:r>
        <w:rPr>
          <w:noProof/>
        </w:rPr>
        <w:drawing>
          <wp:inline distT="0" distB="0" distL="0" distR="0">
            <wp:extent cx="4238625" cy="26003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47B" w:rsidRDefault="002D247B" w:rsidP="00F54A7C"/>
    <w:p w:rsidR="002D247B" w:rsidRDefault="00695AFA" w:rsidP="00385F8A">
      <w:r>
        <w:lastRenderedPageBreak/>
        <w:t>В инжекционном полупроводниковом гомолазере активным эл</w:t>
      </w:r>
      <w:r>
        <w:t>е</w:t>
      </w:r>
      <w:r>
        <w:t>ментом служит монокристалл арсенида галлия GaAs в форме параллел</w:t>
      </w:r>
      <w:r>
        <w:t>е</w:t>
      </w:r>
      <w:r>
        <w:t>пипеда с размером сторон в несколько десятых долей миллиметра. В монокристалле арсенида галлия создан электронно-дырочный переход. Монокристалл укрепляется в массивном медном корпусе; служащем для отвода тепла. Две противоположные грани полупроводниковой пласт</w:t>
      </w:r>
      <w:r>
        <w:t>и</w:t>
      </w:r>
      <w:r>
        <w:t>ны, перпендикулярные плоскости перехода, образуют оптический рез</w:t>
      </w:r>
      <w:r>
        <w:t>о</w:t>
      </w:r>
      <w:r>
        <w:t>натор. Отражающие поверхности резонатора чаще всего получают п</w:t>
      </w:r>
      <w:r>
        <w:t>у</w:t>
      </w:r>
      <w:r>
        <w:t>тем скола кристалла вдоль кристаллографической плоскости, что обе</w:t>
      </w:r>
      <w:r>
        <w:t>с</w:t>
      </w:r>
      <w:r>
        <w:t>печивает получение идеально ровных и параллельных поверхностей. Ввиду значительного коэффициента преломления света</w:t>
      </w:r>
      <w:r>
        <w:rPr>
          <w:b/>
        </w:rPr>
        <w:t xml:space="preserve"> </w:t>
      </w:r>
      <w:r>
        <w:t>на границе воздух - арсенид галлия коэффициент отражения от поверхностей резон</w:t>
      </w:r>
      <w:r>
        <w:t>а</w:t>
      </w:r>
      <w:r>
        <w:t>тора составляет величину ~0,3, что достаточно для реализации условий самовозбуждения. Остальные четыре грани полупроводникового кр</w:t>
      </w:r>
      <w:r>
        <w:t>и</w:t>
      </w:r>
      <w:r>
        <w:t>сталла, чтобы исключить возникновение паразитных колебаний, делают шероховатыми.</w:t>
      </w:r>
      <w:r>
        <w:tab/>
      </w:r>
    </w:p>
    <w:p w:rsidR="000C7355" w:rsidRDefault="000C7355" w:rsidP="00385F8A">
      <w:r>
        <w:rPr>
          <w:b/>
        </w:rPr>
        <w:t>З</w:t>
      </w:r>
      <w:r w:rsidRPr="00D735A8">
        <w:rPr>
          <w:b/>
          <w:i/>
        </w:rPr>
        <w:t>ависимость выходной мощности излучения от мощности накачки.</w:t>
      </w:r>
      <w:r>
        <w:t xml:space="preserve"> </w:t>
      </w:r>
    </w:p>
    <w:p w:rsidR="000C7355" w:rsidRDefault="000C7355" w:rsidP="00385F8A">
      <w:r>
        <w:t xml:space="preserve">При относительно небольших значениях мощности накачка </w:t>
      </w:r>
      <w:r w:rsidRPr="00D735A8">
        <w:rPr>
          <w:i/>
          <w:lang w:val="en-US"/>
        </w:rPr>
        <w:t>P</w:t>
      </w:r>
      <w:r w:rsidRPr="00D735A8">
        <w:rPr>
          <w:i/>
          <w:vertAlign w:val="subscript"/>
        </w:rPr>
        <w:t>н</w:t>
      </w:r>
      <w:r>
        <w:t xml:space="preserve"> (тока и</w:t>
      </w:r>
      <w:r>
        <w:t>н</w:t>
      </w:r>
      <w:r>
        <w:t>жекции) число активных частиц, а следовательно, и мощность излуч</w:t>
      </w:r>
      <w:r>
        <w:t>е</w:t>
      </w:r>
      <w:r>
        <w:t xml:space="preserve">ния, растет практически линейно в зависимости от величины </w:t>
      </w:r>
      <w:r w:rsidRPr="00D735A8">
        <w:rPr>
          <w:i/>
          <w:lang w:val="en-US"/>
        </w:rPr>
        <w:t>P</w:t>
      </w:r>
      <w:r w:rsidRPr="00D735A8">
        <w:rPr>
          <w:i/>
          <w:vertAlign w:val="subscript"/>
        </w:rPr>
        <w:t>н</w:t>
      </w:r>
      <w:r>
        <w:t>. С дал</w:t>
      </w:r>
      <w:r>
        <w:t>ь</w:t>
      </w:r>
      <w:r>
        <w:t>нейшим ростом мощности накачки наблюдается быстрое уменьшение мощности излучения, что объясняется разогревом диода. При увелич</w:t>
      </w:r>
      <w:r>
        <w:t>е</w:t>
      </w:r>
      <w:r>
        <w:t>нии температуры плотность порогового тока, при котором начинается генерация, возрастает. Это связано с изменением функций распредел</w:t>
      </w:r>
      <w:r>
        <w:t>е</w:t>
      </w:r>
      <w:r>
        <w:t>ния электронов и дырок в энергетических зонах. При повышении темп</w:t>
      </w:r>
      <w:r>
        <w:t>е</w:t>
      </w:r>
      <w:r>
        <w:t>ратуры из-за смещения уровня Ферми к границам зоны проводимости и валентной зоны уменьшается вероятность заполнения электронами верхних рабочих уровней в окрестности зоны проводимости, с которых происходят индуцированные переходы в валентную зону.</w:t>
      </w:r>
    </w:p>
    <w:p w:rsidR="000C7355" w:rsidRDefault="000C7355" w:rsidP="00385F8A">
      <w:r>
        <w:t>В инжекционных ОКГ расходимость луча зависит от материала, конструкции диодной структуры и ряда других факторов. Однако о</w:t>
      </w:r>
      <w:r>
        <w:t>с</w:t>
      </w:r>
      <w:r>
        <w:t>новной причиной, определяющей диаграмму</w:t>
      </w:r>
      <w:r>
        <w:rPr>
          <w:b/>
        </w:rPr>
        <w:t xml:space="preserve"> </w:t>
      </w:r>
      <w:r>
        <w:t>направленности излучения, является дифракционная расходимость. Она определяется толщиной а</w:t>
      </w:r>
      <w:r>
        <w:t>к</w:t>
      </w:r>
      <w:r>
        <w:t xml:space="preserve">тивного слоя инжекционного ОКГ. Оптическую модель ПКГ можно представить в виде активного тонкого плоского слоя толщиной </w:t>
      </w:r>
      <w:r>
        <w:rPr>
          <w:i/>
          <w:lang w:val="en-US"/>
        </w:rPr>
        <w:t>d</w:t>
      </w:r>
      <w:r>
        <w:t>, з</w:t>
      </w:r>
      <w:r>
        <w:t>а</w:t>
      </w:r>
      <w:r>
        <w:t>ключенного между двумя пассивными област</w:t>
      </w:r>
      <w:r>
        <w:t>я</w:t>
      </w:r>
      <w:r>
        <w:t xml:space="preserve">ми  (рисунок 21.4). </w:t>
      </w:r>
    </w:p>
    <w:p w:rsidR="000C7355" w:rsidRDefault="00EA0C8E" w:rsidP="000C7355">
      <w:r>
        <w:rPr>
          <w:noProof/>
        </w:rPr>
        <w:lastRenderedPageBreak/>
        <w:drawing>
          <wp:inline distT="0" distB="0" distL="0" distR="0">
            <wp:extent cx="3714750" cy="2324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B83" w:rsidRDefault="006C4B83" w:rsidP="00385F8A">
      <w:r>
        <w:t>Комплексная диэлектрическая проницаемость активной и пасси</w:t>
      </w:r>
      <w:r>
        <w:t>в</w:t>
      </w:r>
      <w:r>
        <w:t>ной областей различна и на границе указанных областей имеется скачек диэлектрической проницаемости (рисунок 21.4,б). Действительная часть диэлектрической проницаемости активного слоя как правило больше окружающих ее пассивных областей. В результате происходит внутре</w:t>
      </w:r>
      <w:r>
        <w:t>н</w:t>
      </w:r>
      <w:r>
        <w:t>нее отражение электромагнитных волн на границах активного слоя и о</w:t>
      </w:r>
      <w:r>
        <w:t>г</w:t>
      </w:r>
      <w:r>
        <w:t xml:space="preserve">раничение потока излучения в нем. Вне активного слоя имеется только волна поверхностного </w:t>
      </w:r>
      <w:r>
        <w:rPr>
          <w:color w:val="000000"/>
        </w:rPr>
        <w:t>типа. Таким образом, диод подобен открытому диэлектрическому вол</w:t>
      </w:r>
      <w:r>
        <w:rPr>
          <w:color w:val="000000"/>
        </w:rPr>
        <w:softHyphen/>
        <w:t xml:space="preserve">новоду, характеристики которого и определяют диаграмму излучения. При относительно большой ширине </w:t>
      </w:r>
      <w:r w:rsidRPr="00D735A8">
        <w:rPr>
          <w:i/>
          <w:color w:val="000000"/>
          <w:lang w:val="en-US"/>
        </w:rPr>
        <w:t>d</w:t>
      </w:r>
      <w:r>
        <w:rPr>
          <w:color w:val="000000"/>
        </w:rPr>
        <w:t xml:space="preserve"> активного слоя возбуждаются не только продольные, но и поперечные типы колебаний высоких порядков вдоль оси </w:t>
      </w:r>
      <w:r w:rsidRPr="00D735A8">
        <w:rPr>
          <w:i/>
          <w:color w:val="000000"/>
        </w:rPr>
        <w:t>х</w:t>
      </w:r>
      <w:r>
        <w:rPr>
          <w:color w:val="000000"/>
        </w:rPr>
        <w:t>, диаграмма направленности кот</w:t>
      </w:r>
      <w:r>
        <w:rPr>
          <w:color w:val="000000"/>
        </w:rPr>
        <w:t>о</w:t>
      </w:r>
      <w:r>
        <w:rPr>
          <w:color w:val="000000"/>
        </w:rPr>
        <w:t>рых имеет много лепестков сравнимой интенсивности. Поперечные т</w:t>
      </w:r>
      <w:r>
        <w:rPr>
          <w:color w:val="000000"/>
        </w:rPr>
        <w:t>и</w:t>
      </w:r>
      <w:r>
        <w:rPr>
          <w:color w:val="000000"/>
        </w:rPr>
        <w:t>пы колебаний по оси  х  формируют структуру луча ОКГ в вертикальной плоскости, т.е. в поперечном плоскости перехода сечении (рисунок 21.5). При малой толщине   диэлектрического волновода (активной о</w:t>
      </w:r>
      <w:r>
        <w:rPr>
          <w:color w:val="000000"/>
        </w:rPr>
        <w:t>б</w:t>
      </w:r>
      <w:r>
        <w:rPr>
          <w:color w:val="000000"/>
        </w:rPr>
        <w:t>ласти) происходит подавле</w:t>
      </w:r>
      <w:r>
        <w:rPr>
          <w:color w:val="000000"/>
        </w:rPr>
        <w:softHyphen/>
        <w:t xml:space="preserve">ние поперечных типов колебаний по оси </w:t>
      </w:r>
      <w:r>
        <w:rPr>
          <w:color w:val="000000"/>
          <w:lang w:val="en-US"/>
        </w:rPr>
        <w:t>x</w:t>
      </w:r>
      <w:r>
        <w:rPr>
          <w:color w:val="000000"/>
        </w:rPr>
        <w:t xml:space="preserve"> .</w:t>
      </w:r>
    </w:p>
    <w:p w:rsidR="007C7F8E" w:rsidRDefault="00EA0C8E" w:rsidP="000C7355">
      <w:r>
        <w:rPr>
          <w:noProof/>
        </w:rPr>
        <w:drawing>
          <wp:inline distT="0" distB="0" distL="0" distR="0">
            <wp:extent cx="3829050" cy="17907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B83" w:rsidRDefault="00CF4279" w:rsidP="000C7355">
      <w:pPr>
        <w:rPr>
          <w:b/>
        </w:rPr>
      </w:pPr>
      <w:r w:rsidRPr="00CF4279">
        <w:rPr>
          <w:b/>
        </w:rPr>
        <w:t>Недостатки</w:t>
      </w:r>
    </w:p>
    <w:p w:rsidR="00CF4279" w:rsidRDefault="00EA0C8E" w:rsidP="000C7355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000500" cy="47529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279" w:rsidRPr="00CF4279" w:rsidRDefault="00B71BA7" w:rsidP="00385F8A">
      <w:pPr>
        <w:rPr>
          <w:b/>
        </w:rPr>
      </w:pPr>
      <w:r>
        <w:rPr>
          <w:w w:val="111"/>
        </w:rPr>
        <w:t>Из-за различия диэлектрических проницаемостей активного слоя и окружающих его слоев возникает скачок диэлектрической проницаемости, что приводит к образованию волновода (свет</w:t>
      </w:r>
      <w:r>
        <w:rPr>
          <w:w w:val="111"/>
        </w:rPr>
        <w:t>о</w:t>
      </w:r>
      <w:r>
        <w:rPr>
          <w:w w:val="111"/>
        </w:rPr>
        <w:t>вода). В двойных гетероструктурах диэлектрический волновод является симметричным, т.е. локализованные волны существуют при любой сколь угодно малой толщине.</w:t>
      </w:r>
    </w:p>
    <w:sectPr w:rsidR="00CF4279" w:rsidRPr="00CF4279">
      <w:headerReference w:type="even" r:id="rId19"/>
      <w:head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8D9" w:rsidRDefault="006028D9">
      <w:pPr>
        <w:spacing w:line="240" w:lineRule="auto"/>
      </w:pPr>
      <w:r>
        <w:separator/>
      </w:r>
    </w:p>
  </w:endnote>
  <w:endnote w:type="continuationSeparator" w:id="0">
    <w:p w:rsidR="006028D9" w:rsidRDefault="006028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8D9" w:rsidRDefault="006028D9">
      <w:pPr>
        <w:spacing w:line="240" w:lineRule="auto"/>
      </w:pPr>
      <w:r>
        <w:separator/>
      </w:r>
    </w:p>
  </w:footnote>
  <w:footnote w:type="continuationSeparator" w:id="0">
    <w:p w:rsidR="006028D9" w:rsidRDefault="006028D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98F" w:rsidRDefault="00CE098F" w:rsidP="00CE098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98F" w:rsidRDefault="00CE098F" w:rsidP="00CE098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98F" w:rsidRDefault="00CE098F" w:rsidP="00CE098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A0C8E">
      <w:rPr>
        <w:rStyle w:val="a4"/>
        <w:noProof/>
      </w:rPr>
      <w:t>8</w:t>
    </w:r>
    <w:r>
      <w:rPr>
        <w:rStyle w:val="a4"/>
      </w:rPr>
      <w:fldChar w:fldCharType="end"/>
    </w:r>
  </w:p>
  <w:p w:rsidR="00CE098F" w:rsidRDefault="00CE098F" w:rsidP="00CE098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1497A"/>
    <w:rsid w:val="00046396"/>
    <w:rsid w:val="000C7355"/>
    <w:rsid w:val="00101F2E"/>
    <w:rsid w:val="001C68CF"/>
    <w:rsid w:val="002D247B"/>
    <w:rsid w:val="002F15CC"/>
    <w:rsid w:val="00385F8A"/>
    <w:rsid w:val="003A26CC"/>
    <w:rsid w:val="00476566"/>
    <w:rsid w:val="00512F95"/>
    <w:rsid w:val="00594C68"/>
    <w:rsid w:val="005E68C9"/>
    <w:rsid w:val="006028D9"/>
    <w:rsid w:val="00687478"/>
    <w:rsid w:val="00695AFA"/>
    <w:rsid w:val="006C4B83"/>
    <w:rsid w:val="00732046"/>
    <w:rsid w:val="007C7F8E"/>
    <w:rsid w:val="00850A0B"/>
    <w:rsid w:val="008F50EB"/>
    <w:rsid w:val="00920AB0"/>
    <w:rsid w:val="009455F9"/>
    <w:rsid w:val="00951E47"/>
    <w:rsid w:val="009945E0"/>
    <w:rsid w:val="00A1497A"/>
    <w:rsid w:val="00A23AB8"/>
    <w:rsid w:val="00A25354"/>
    <w:rsid w:val="00B71BA7"/>
    <w:rsid w:val="00B71C35"/>
    <w:rsid w:val="00C048D7"/>
    <w:rsid w:val="00CC5438"/>
    <w:rsid w:val="00CE098F"/>
    <w:rsid w:val="00CF4279"/>
    <w:rsid w:val="00EA0C8E"/>
    <w:rsid w:val="00F54A7C"/>
    <w:rsid w:val="00F911DF"/>
    <w:rsid w:val="00FA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8F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header"/>
    <w:basedOn w:val="a"/>
    <w:rsid w:val="00CE098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E098F"/>
  </w:style>
  <w:style w:type="paragraph" w:styleId="a5">
    <w:name w:val="Body Text Indent"/>
    <w:basedOn w:val="a"/>
    <w:rsid w:val="003A26CC"/>
    <w:pPr>
      <w:spacing w:line="480" w:lineRule="auto"/>
      <w:ind w:firstLine="720"/>
      <w:jc w:val="left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10" Type="http://schemas.openxmlformats.org/officeDocument/2006/relationships/image" Target="media/image4.wmf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14</vt:lpstr>
    </vt:vector>
  </TitlesOfParts>
  <Company/>
  <LinksUpToDate>false</LinksUpToDate>
  <CharactersWithSpaces>13561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14</dc:title>
  <dc:creator>Dell</dc:creator>
  <cp:lastModifiedBy>Лео</cp:lastModifiedBy>
  <cp:revision>2</cp:revision>
  <dcterms:created xsi:type="dcterms:W3CDTF">2009-12-13T19:14:00Z</dcterms:created>
  <dcterms:modified xsi:type="dcterms:W3CDTF">2009-12-13T19:14:00Z</dcterms:modified>
</cp:coreProperties>
</file>